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9" w:lineRule="exact"/>
        <w:rPr>
          <w:rFonts w:ascii="仿宋" w:hAnsi="仿宋" w:eastAsia="仿宋"/>
          <w:b/>
          <w:bCs/>
          <w:color w:val="FFFFFF"/>
          <w:spacing w:val="39"/>
          <w:sz w:val="28"/>
          <w:szCs w:val="28"/>
          <w:u w:val="single" w:color="FFFFFF"/>
          <w:shd w:val="clear" w:color="auto" w:fill="285078"/>
          <w:lang w:eastAsia="zh-CN"/>
        </w:rPr>
      </w:pPr>
      <w:r>
        <w:rPr>
          <w:rFonts w:ascii="黑体" w:hAnsi="黑体" w:eastAsia="黑体" w:cs="黑体"/>
          <w:sz w:val="32"/>
          <w:szCs w:val="32"/>
          <w:lang w:eastAsia="zh-CN"/>
        </w:rPr>
        <w:t>附件</w:t>
      </w:r>
      <w:r>
        <w:rPr>
          <w:rFonts w:ascii="黑体" w:hAnsi="黑体" w:eastAsia="黑体" w:cs="黑体"/>
          <w:spacing w:val="-88"/>
          <w:sz w:val="32"/>
          <w:szCs w:val="32"/>
          <w:lang w:eastAsia="zh-CN"/>
        </w:rPr>
        <w:t xml:space="preserve"> </w:t>
      </w:r>
      <w:r>
        <w:rPr>
          <w:rFonts w:ascii="黑体" w:hAnsi="黑体" w:eastAsia="黑体" w:cs="黑体"/>
          <w:sz w:val="32"/>
          <w:szCs w:val="32"/>
          <w:lang w:eastAsia="zh-CN"/>
        </w:rPr>
        <w:t>2</w:t>
      </w:r>
    </w:p>
    <w:p>
      <w:pPr>
        <w:ind w:right="-55" w:rightChars="-25"/>
        <w:jc w:val="center"/>
        <w:rPr>
          <w:rFonts w:ascii="仿宋" w:hAnsi="仿宋" w:eastAsia="仿宋"/>
          <w:b/>
          <w:bCs/>
          <w:color w:val="FFFFFF"/>
          <w:spacing w:val="39"/>
          <w:sz w:val="28"/>
          <w:szCs w:val="28"/>
          <w:u w:val="single" w:color="FFFFFF"/>
          <w:shd w:val="clear" w:color="auto" w:fill="285078"/>
          <w:lang w:eastAsia="zh-CN"/>
        </w:rPr>
      </w:pPr>
      <w:r>
        <w:rPr>
          <w:rFonts w:hint="eastAsia" w:ascii="宋体" w:hAnsi="宋体" w:eastAsia="宋体" w:cs="宋体"/>
          <w:sz w:val="36"/>
          <w:szCs w:val="36"/>
          <w:lang w:eastAsia="zh-CN"/>
        </w:rPr>
        <w:t>统计学基础与寿命数据分析课程及讲师简介</w:t>
      </w:r>
      <w:bookmarkStart w:id="0" w:name="_GoBack"/>
      <w:bookmarkEnd w:id="0"/>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5000" w:type="pct"/>
            <w:gridSpan w:val="2"/>
          </w:tcPr>
          <w:p>
            <w:pPr>
              <w:widowControl/>
              <w:spacing w:line="300" w:lineRule="exact"/>
              <w:jc w:val="center"/>
              <w:rPr>
                <w:rFonts w:ascii="仿宋" w:hAnsi="仿宋" w:eastAsia="仿宋" w:cs="宋体"/>
                <w:b/>
                <w:color w:val="333333"/>
                <w:sz w:val="24"/>
                <w:szCs w:val="24"/>
                <w:shd w:val="clear" w:color="auto" w:fill="FFFFFF"/>
                <w:lang w:eastAsia="zh-CN"/>
              </w:rPr>
            </w:pPr>
            <w:r>
              <w:rPr>
                <w:rFonts w:hint="eastAsia" w:ascii="仿宋" w:hAnsi="仿宋" w:eastAsia="仿宋" w:cs="宋体"/>
                <w:b/>
                <w:color w:val="333333"/>
                <w:sz w:val="24"/>
                <w:szCs w:val="24"/>
                <w:shd w:val="clear" w:color="auto" w:fill="FFFFFF"/>
                <w:lang w:eastAsia="zh-CN"/>
              </w:rPr>
              <w:t>培训目标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000" w:type="pct"/>
            <w:gridSpan w:val="2"/>
          </w:tcPr>
          <w:p>
            <w:pPr>
              <w:pStyle w:val="6"/>
              <w:widowControl/>
              <w:numPr>
                <w:ilvl w:val="0"/>
                <w:numId w:val="1"/>
              </w:numPr>
              <w:spacing w:line="300" w:lineRule="exact"/>
              <w:jc w:val="left"/>
              <w:rPr>
                <w:rFonts w:ascii="仿宋" w:hAnsi="仿宋" w:eastAsia="仿宋" w:cs="宋体"/>
                <w:sz w:val="24"/>
                <w:szCs w:val="24"/>
                <w:lang w:val="zh-TW"/>
              </w:rPr>
            </w:pPr>
            <w:r>
              <w:rPr>
                <w:rFonts w:hint="eastAsia" w:ascii="仿宋" w:hAnsi="仿宋" w:eastAsia="仿宋" w:cs="宋体"/>
                <w:sz w:val="24"/>
                <w:szCs w:val="24"/>
                <w:lang w:val="zh-TW"/>
              </w:rPr>
              <w:t>帮助学员掌握可靠性工程及有关可靠性与寿命分析的一些基本概念、常用的可靠性度量；</w:t>
            </w:r>
          </w:p>
          <w:p>
            <w:pPr>
              <w:pStyle w:val="6"/>
              <w:widowControl/>
              <w:numPr>
                <w:ilvl w:val="0"/>
                <w:numId w:val="1"/>
              </w:numPr>
              <w:spacing w:line="300" w:lineRule="exact"/>
              <w:jc w:val="left"/>
              <w:rPr>
                <w:rFonts w:ascii="仿宋" w:hAnsi="仿宋" w:eastAsia="仿宋" w:cs="宋体"/>
                <w:sz w:val="24"/>
                <w:szCs w:val="24"/>
                <w:lang w:val="zh-TW"/>
              </w:rPr>
            </w:pPr>
            <w:r>
              <w:rPr>
                <w:rFonts w:hint="eastAsia" w:ascii="仿宋" w:hAnsi="仿宋" w:eastAsia="仿宋" w:cs="宋体"/>
                <w:sz w:val="24"/>
                <w:szCs w:val="24"/>
                <w:lang w:val="zh-TW"/>
              </w:rPr>
              <w:t>掌握寿命数据以及涉及对老化或失效过程模型化的问题中常用的一些寿命分布参数模型及其识别方法；</w:t>
            </w:r>
          </w:p>
          <w:p>
            <w:pPr>
              <w:pStyle w:val="6"/>
              <w:widowControl/>
              <w:numPr>
                <w:ilvl w:val="0"/>
                <w:numId w:val="1"/>
              </w:numPr>
              <w:spacing w:line="300" w:lineRule="exact"/>
              <w:jc w:val="left"/>
              <w:rPr>
                <w:rFonts w:ascii="仿宋" w:hAnsi="仿宋" w:eastAsia="仿宋" w:cs="Times New Roman"/>
                <w:sz w:val="24"/>
                <w:szCs w:val="24"/>
              </w:rPr>
            </w:pPr>
            <w:r>
              <w:rPr>
                <w:rFonts w:hint="eastAsia" w:ascii="仿宋" w:hAnsi="仿宋" w:eastAsia="仿宋" w:cs="宋体"/>
                <w:sz w:val="24"/>
                <w:szCs w:val="24"/>
                <w:lang w:val="zh-TW"/>
              </w:rPr>
              <w:t>了解寿命分布分析的参数和非参数方法等。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000" w:type="pct"/>
            <w:gridSpan w:val="2"/>
          </w:tcPr>
          <w:p>
            <w:pPr>
              <w:widowControl/>
              <w:spacing w:line="300" w:lineRule="exact"/>
              <w:jc w:val="center"/>
              <w:rPr>
                <w:rFonts w:ascii="仿宋" w:hAnsi="仿宋" w:eastAsia="仿宋" w:cs="宋体"/>
                <w:b/>
                <w:color w:val="333333"/>
                <w:sz w:val="24"/>
                <w:szCs w:val="24"/>
                <w:shd w:val="clear" w:color="auto" w:fill="FFFFFF"/>
                <w:lang w:eastAsia="zh-CN"/>
              </w:rPr>
            </w:pPr>
            <w:r>
              <w:rPr>
                <w:rFonts w:hint="eastAsia" w:ascii="仿宋" w:hAnsi="仿宋" w:eastAsia="仿宋" w:cs="宋体"/>
                <w:b/>
                <w:color w:val="333333"/>
                <w:sz w:val="24"/>
                <w:szCs w:val="24"/>
                <w:shd w:val="clear" w:color="auto" w:fill="FFFFFF"/>
                <w:lang w:eastAsia="zh-CN"/>
              </w:rPr>
              <w:t>培训大纲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81" w:type="pct"/>
            <w:vAlign w:val="center"/>
          </w:tcPr>
          <w:p>
            <w:pPr>
              <w:widowControl/>
              <w:spacing w:line="300" w:lineRule="exact"/>
              <w:rPr>
                <w:rFonts w:ascii="仿宋" w:hAnsi="仿宋" w:eastAsia="仿宋" w:cs="宋体"/>
                <w:b/>
                <w:color w:val="333333"/>
                <w:sz w:val="24"/>
                <w:szCs w:val="24"/>
                <w:shd w:val="clear" w:color="auto" w:fill="FFFFFF"/>
                <w:lang w:eastAsia="zh-CN"/>
              </w:rPr>
            </w:pPr>
            <w:r>
              <w:rPr>
                <w:rFonts w:hint="eastAsia" w:ascii="仿宋" w:hAnsi="仿宋" w:eastAsia="仿宋" w:cs="宋体"/>
                <w:sz w:val="24"/>
                <w:szCs w:val="24"/>
                <w:lang w:eastAsia="zh-CN"/>
              </w:rPr>
              <w:t>统计学基础</w:t>
            </w:r>
          </w:p>
        </w:tc>
        <w:tc>
          <w:tcPr>
            <w:tcW w:w="4019" w:type="pct"/>
            <w:vAlign w:val="center"/>
          </w:tcPr>
          <w:p>
            <w:pPr>
              <w:pStyle w:val="6"/>
              <w:widowControl/>
              <w:numPr>
                <w:ilvl w:val="0"/>
                <w:numId w:val="1"/>
              </w:numPr>
              <w:spacing w:line="300" w:lineRule="exact"/>
              <w:jc w:val="left"/>
              <w:rPr>
                <w:rFonts w:ascii="仿宋" w:hAnsi="仿宋" w:eastAsia="仿宋" w:cs="宋体"/>
                <w:sz w:val="24"/>
                <w:szCs w:val="24"/>
                <w:lang w:val="zh-TW"/>
              </w:rPr>
            </w:pPr>
            <w:r>
              <w:rPr>
                <w:rFonts w:hint="eastAsia" w:ascii="仿宋" w:hAnsi="仿宋" w:eastAsia="仿宋" w:cs="宋体"/>
                <w:sz w:val="24"/>
                <w:szCs w:val="24"/>
                <w:lang w:val="zh-TW"/>
              </w:rPr>
              <w:t>简介</w:t>
            </w:r>
          </w:p>
          <w:p>
            <w:pPr>
              <w:pStyle w:val="6"/>
              <w:widowControl/>
              <w:numPr>
                <w:ilvl w:val="0"/>
                <w:numId w:val="1"/>
              </w:numPr>
              <w:spacing w:line="300" w:lineRule="exact"/>
              <w:jc w:val="left"/>
              <w:rPr>
                <w:rFonts w:ascii="仿宋" w:hAnsi="仿宋" w:eastAsia="仿宋" w:cs="宋体"/>
                <w:sz w:val="24"/>
                <w:szCs w:val="24"/>
                <w:lang w:val="zh-TW" w:eastAsia="zh-TW"/>
              </w:rPr>
            </w:pPr>
            <w:r>
              <w:rPr>
                <w:rFonts w:hint="eastAsia" w:ascii="仿宋" w:hAnsi="仿宋" w:eastAsia="仿宋" w:cs="宋体"/>
                <w:sz w:val="24"/>
                <w:szCs w:val="24"/>
                <w:lang w:val="zh-TW" w:eastAsia="zh-TW"/>
              </w:rPr>
              <w:t>可靠性工程（基本概念）</w:t>
            </w:r>
          </w:p>
          <w:p>
            <w:pPr>
              <w:pStyle w:val="6"/>
              <w:widowControl/>
              <w:numPr>
                <w:ilvl w:val="0"/>
                <w:numId w:val="1"/>
              </w:numPr>
              <w:spacing w:line="300" w:lineRule="exact"/>
              <w:jc w:val="left"/>
              <w:rPr>
                <w:rFonts w:ascii="仿宋" w:hAnsi="仿宋" w:eastAsia="仿宋" w:cs="宋体"/>
                <w:sz w:val="24"/>
                <w:szCs w:val="24"/>
                <w:lang w:val="zh-TW"/>
              </w:rPr>
            </w:pPr>
            <w:r>
              <w:rPr>
                <w:rFonts w:hint="eastAsia" w:ascii="仿宋" w:hAnsi="仿宋" w:eastAsia="仿宋" w:cs="宋体"/>
                <w:sz w:val="24"/>
                <w:szCs w:val="24"/>
                <w:lang w:val="zh-TW"/>
              </w:rPr>
              <w:t>可靠性统计统计学基本定义、概念</w:t>
            </w:r>
          </w:p>
          <w:p>
            <w:pPr>
              <w:pStyle w:val="6"/>
              <w:widowControl/>
              <w:numPr>
                <w:ilvl w:val="0"/>
                <w:numId w:val="1"/>
              </w:numPr>
              <w:spacing w:line="300" w:lineRule="exact"/>
              <w:jc w:val="left"/>
              <w:rPr>
                <w:rFonts w:ascii="仿宋" w:hAnsi="仿宋" w:eastAsia="仿宋" w:cs="宋体"/>
                <w:sz w:val="24"/>
                <w:szCs w:val="24"/>
                <w:lang w:val="zh-TW"/>
              </w:rPr>
            </w:pPr>
            <w:r>
              <w:rPr>
                <w:rFonts w:hint="eastAsia" w:ascii="仿宋" w:hAnsi="仿宋" w:eastAsia="仿宋" w:cs="宋体"/>
                <w:sz w:val="24"/>
                <w:szCs w:val="24"/>
                <w:lang w:val="zh-TW"/>
              </w:rPr>
              <w:t>介绍可靠性数据的种类和来源，以及如何收集这些数据</w:t>
            </w:r>
          </w:p>
          <w:p>
            <w:pPr>
              <w:pStyle w:val="6"/>
              <w:widowControl/>
              <w:numPr>
                <w:ilvl w:val="0"/>
                <w:numId w:val="1"/>
              </w:numPr>
              <w:spacing w:line="300" w:lineRule="exact"/>
              <w:jc w:val="left"/>
              <w:rPr>
                <w:rFonts w:ascii="仿宋" w:hAnsi="仿宋" w:eastAsia="仿宋" w:cs="宋体"/>
                <w:kern w:val="0"/>
                <w:sz w:val="24"/>
                <w:szCs w:val="24"/>
              </w:rPr>
            </w:pPr>
            <w:r>
              <w:rPr>
                <w:rFonts w:hint="eastAsia" w:ascii="仿宋" w:hAnsi="仿宋" w:eastAsia="仿宋" w:cs="宋体"/>
                <w:sz w:val="24"/>
                <w:szCs w:val="24"/>
                <w:lang w:val="zh-TW"/>
              </w:rPr>
              <w:t>常用的产品寿命分布形式及其应用：Weibull分布、指数分布、正态分布、对数正态分布等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81" w:type="pct"/>
            <w:vAlign w:val="center"/>
          </w:tcPr>
          <w:p>
            <w:pPr>
              <w:widowControl/>
              <w:spacing w:line="300" w:lineRule="exact"/>
              <w:rPr>
                <w:rFonts w:ascii="仿宋" w:hAnsi="仿宋" w:eastAsia="仿宋" w:cs="宋体"/>
                <w:b/>
                <w:color w:val="333333"/>
                <w:sz w:val="24"/>
                <w:szCs w:val="24"/>
                <w:shd w:val="clear" w:color="auto" w:fill="FFFFFF"/>
                <w:lang w:eastAsia="zh-CN"/>
              </w:rPr>
            </w:pPr>
            <w:r>
              <w:rPr>
                <w:rFonts w:hint="eastAsia" w:ascii="仿宋" w:hAnsi="仿宋" w:eastAsia="仿宋" w:cs="宋体"/>
                <w:sz w:val="24"/>
                <w:szCs w:val="24"/>
                <w:lang w:eastAsia="zh-CN"/>
              </w:rPr>
              <w:t>寿命数据分析基础</w:t>
            </w:r>
          </w:p>
        </w:tc>
        <w:tc>
          <w:tcPr>
            <w:tcW w:w="4019" w:type="pct"/>
            <w:vAlign w:val="center"/>
          </w:tcPr>
          <w:p>
            <w:pPr>
              <w:pStyle w:val="6"/>
              <w:widowControl/>
              <w:numPr>
                <w:ilvl w:val="0"/>
                <w:numId w:val="1"/>
              </w:numPr>
              <w:spacing w:line="300" w:lineRule="exact"/>
              <w:jc w:val="left"/>
              <w:rPr>
                <w:rFonts w:ascii="仿宋" w:hAnsi="仿宋" w:eastAsia="仿宋" w:cs="宋体"/>
                <w:sz w:val="24"/>
                <w:szCs w:val="24"/>
                <w:lang w:val="zh-TW"/>
              </w:rPr>
            </w:pPr>
            <w:r>
              <w:rPr>
                <w:rFonts w:hint="eastAsia" w:ascii="仿宋" w:hAnsi="仿宋" w:eastAsia="仿宋" w:cs="宋体"/>
                <w:sz w:val="24"/>
                <w:szCs w:val="24"/>
                <w:lang w:val="zh-TW"/>
              </w:rPr>
              <w:t>寿命数据分析的基本过程，图估法详细过程介绍</w:t>
            </w:r>
          </w:p>
          <w:p>
            <w:pPr>
              <w:pStyle w:val="6"/>
              <w:widowControl/>
              <w:numPr>
                <w:ilvl w:val="0"/>
                <w:numId w:val="1"/>
              </w:numPr>
              <w:spacing w:line="300" w:lineRule="exact"/>
              <w:jc w:val="left"/>
              <w:rPr>
                <w:rFonts w:ascii="仿宋" w:hAnsi="仿宋" w:eastAsia="仿宋" w:cs="宋体"/>
                <w:sz w:val="24"/>
                <w:szCs w:val="24"/>
                <w:lang w:val="zh-TW"/>
              </w:rPr>
            </w:pPr>
            <w:r>
              <w:rPr>
                <w:rFonts w:hint="eastAsia" w:ascii="仿宋" w:hAnsi="仿宋" w:eastAsia="仿宋" w:cs="宋体"/>
                <w:sz w:val="24"/>
                <w:szCs w:val="24"/>
                <w:lang w:val="zh-TW"/>
              </w:rPr>
              <w:t>产品寿命数据分类、表示和定义</w:t>
            </w:r>
          </w:p>
          <w:p>
            <w:pPr>
              <w:pStyle w:val="6"/>
              <w:widowControl/>
              <w:numPr>
                <w:ilvl w:val="0"/>
                <w:numId w:val="1"/>
              </w:numPr>
              <w:spacing w:line="300" w:lineRule="exact"/>
              <w:jc w:val="left"/>
              <w:rPr>
                <w:rFonts w:ascii="仿宋" w:hAnsi="仿宋" w:eastAsia="仿宋" w:cs="宋体"/>
                <w:kern w:val="0"/>
                <w:sz w:val="24"/>
                <w:szCs w:val="24"/>
              </w:rPr>
            </w:pPr>
            <w:r>
              <w:rPr>
                <w:rFonts w:hint="eastAsia" w:ascii="仿宋" w:hAnsi="仿宋" w:eastAsia="仿宋" w:cs="宋体"/>
                <w:sz w:val="24"/>
                <w:szCs w:val="24"/>
                <w:lang w:val="zh-TW"/>
              </w:rPr>
              <w:t>参数估计的理论和方法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981" w:type="pct"/>
            <w:vAlign w:val="center"/>
          </w:tcPr>
          <w:p>
            <w:pPr>
              <w:widowControl/>
              <w:spacing w:line="300" w:lineRule="exact"/>
              <w:rPr>
                <w:rFonts w:ascii="仿宋" w:hAnsi="仿宋" w:eastAsia="仿宋" w:cs="宋体"/>
                <w:b/>
                <w:color w:val="333333"/>
                <w:sz w:val="24"/>
                <w:szCs w:val="24"/>
                <w:shd w:val="clear" w:color="auto" w:fill="FFFFFF"/>
                <w:lang w:eastAsia="zh-CN"/>
              </w:rPr>
            </w:pPr>
            <w:r>
              <w:rPr>
                <w:rFonts w:hint="eastAsia" w:ascii="仿宋" w:hAnsi="仿宋" w:eastAsia="仿宋" w:cs="宋体"/>
                <w:sz w:val="24"/>
                <w:szCs w:val="24"/>
                <w:lang w:eastAsia="zh-CN"/>
              </w:rPr>
              <w:t>寿命数据分析基础及案例学习</w:t>
            </w:r>
          </w:p>
        </w:tc>
        <w:tc>
          <w:tcPr>
            <w:tcW w:w="4019" w:type="pct"/>
            <w:vAlign w:val="center"/>
          </w:tcPr>
          <w:p>
            <w:pPr>
              <w:pStyle w:val="6"/>
              <w:widowControl/>
              <w:numPr>
                <w:ilvl w:val="0"/>
                <w:numId w:val="1"/>
              </w:numPr>
              <w:spacing w:line="300" w:lineRule="exact"/>
              <w:jc w:val="left"/>
              <w:rPr>
                <w:rFonts w:ascii="仿宋" w:hAnsi="仿宋" w:eastAsia="仿宋" w:cs="宋体"/>
                <w:sz w:val="24"/>
                <w:szCs w:val="24"/>
                <w:lang w:val="zh-TW"/>
              </w:rPr>
            </w:pPr>
            <w:r>
              <w:rPr>
                <w:rFonts w:hint="eastAsia" w:ascii="仿宋" w:hAnsi="仿宋" w:eastAsia="仿宋" w:cs="宋体"/>
                <w:sz w:val="24"/>
                <w:szCs w:val="24"/>
                <w:lang w:val="zh-TW"/>
              </w:rPr>
              <w:t>区间估计的理论和方法</w:t>
            </w:r>
          </w:p>
          <w:p>
            <w:pPr>
              <w:pStyle w:val="7"/>
              <w:widowControl/>
              <w:numPr>
                <w:ilvl w:val="0"/>
                <w:numId w:val="1"/>
              </w:numPr>
              <w:spacing w:line="300" w:lineRule="exact"/>
              <w:rPr>
                <w:rFonts w:ascii="仿宋" w:hAnsi="仿宋" w:eastAsia="仿宋" w:cs="宋体"/>
                <w:color w:val="000000"/>
                <w:kern w:val="2"/>
                <w:sz w:val="24"/>
                <w:szCs w:val="24"/>
                <w:u w:color="000000"/>
                <w:lang w:val="zh-TW" w:eastAsia="zh-CN"/>
              </w:rPr>
            </w:pPr>
            <w:r>
              <w:rPr>
                <w:rFonts w:hint="eastAsia" w:ascii="仿宋" w:hAnsi="仿宋" w:eastAsia="仿宋" w:cs="宋体"/>
                <w:color w:val="000000"/>
                <w:kern w:val="2"/>
                <w:sz w:val="24"/>
                <w:szCs w:val="24"/>
                <w:u w:color="000000"/>
                <w:lang w:val="zh-TW" w:eastAsia="zh-CN"/>
              </w:rPr>
              <w:t>详细介绍分析各结果的意义，以及如何使用。包括：失效率、可靠度、条件可靠度、Bx寿命等</w:t>
            </w:r>
          </w:p>
          <w:p>
            <w:pPr>
              <w:pStyle w:val="7"/>
              <w:widowControl/>
              <w:numPr>
                <w:ilvl w:val="0"/>
                <w:numId w:val="1"/>
              </w:numPr>
              <w:spacing w:line="300" w:lineRule="exact"/>
              <w:rPr>
                <w:rFonts w:ascii="仿宋" w:hAnsi="仿宋" w:eastAsia="仿宋" w:cs="宋体"/>
                <w:color w:val="000000"/>
                <w:kern w:val="2"/>
                <w:sz w:val="24"/>
                <w:szCs w:val="24"/>
                <w:u w:color="000000"/>
                <w:lang w:val="zh-TW" w:eastAsia="zh-CN"/>
              </w:rPr>
            </w:pPr>
            <w:r>
              <w:rPr>
                <w:rFonts w:hint="eastAsia" w:ascii="仿宋" w:hAnsi="仿宋" w:eastAsia="仿宋" w:cs="宋体"/>
                <w:color w:val="000000"/>
                <w:kern w:val="2"/>
                <w:sz w:val="24"/>
                <w:szCs w:val="24"/>
                <w:u w:color="000000"/>
                <w:lang w:val="zh-TW" w:eastAsia="zh-CN"/>
              </w:rPr>
              <w:t>完整数据分析案例学习，混合数据分析过程及软件操作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81" w:type="pct"/>
            <w:vAlign w:val="center"/>
          </w:tcPr>
          <w:p>
            <w:pPr>
              <w:widowControl/>
              <w:spacing w:line="300" w:lineRule="exact"/>
              <w:rPr>
                <w:rFonts w:ascii="仿宋" w:hAnsi="仿宋" w:eastAsia="仿宋" w:cs="宋体"/>
                <w:b/>
                <w:color w:val="333333"/>
                <w:sz w:val="24"/>
                <w:szCs w:val="24"/>
                <w:shd w:val="clear" w:color="auto" w:fill="FFFFFF"/>
                <w:lang w:eastAsia="zh-CN"/>
              </w:rPr>
            </w:pPr>
            <w:r>
              <w:rPr>
                <w:rFonts w:hint="eastAsia" w:ascii="仿宋" w:hAnsi="仿宋" w:eastAsia="仿宋" w:cs="宋体"/>
                <w:sz w:val="24"/>
                <w:szCs w:val="24"/>
                <w:lang w:eastAsia="zh-CN"/>
              </w:rPr>
              <w:t>寿命数据分析案例学习和软件操作</w:t>
            </w:r>
          </w:p>
        </w:tc>
        <w:tc>
          <w:tcPr>
            <w:tcW w:w="4019" w:type="pct"/>
            <w:vAlign w:val="center"/>
          </w:tcPr>
          <w:p>
            <w:pPr>
              <w:pStyle w:val="6"/>
              <w:widowControl/>
              <w:numPr>
                <w:ilvl w:val="0"/>
                <w:numId w:val="2"/>
              </w:numPr>
              <w:spacing w:line="300" w:lineRule="exact"/>
              <w:jc w:val="left"/>
              <w:rPr>
                <w:rFonts w:ascii="仿宋" w:hAnsi="仿宋" w:eastAsia="仿宋" w:cs="宋体"/>
                <w:sz w:val="24"/>
                <w:szCs w:val="24"/>
              </w:rPr>
            </w:pPr>
            <w:r>
              <w:rPr>
                <w:rFonts w:hint="eastAsia" w:ascii="仿宋" w:hAnsi="仿宋" w:eastAsia="仿宋" w:cs="宋体"/>
                <w:sz w:val="24"/>
                <w:szCs w:val="24"/>
              </w:rPr>
              <w:t>零失效数据分析介绍，软件操作联系</w:t>
            </w:r>
          </w:p>
          <w:p>
            <w:pPr>
              <w:pStyle w:val="6"/>
              <w:widowControl/>
              <w:numPr>
                <w:ilvl w:val="0"/>
                <w:numId w:val="2"/>
              </w:numPr>
              <w:spacing w:line="300" w:lineRule="exact"/>
              <w:jc w:val="left"/>
              <w:rPr>
                <w:rFonts w:ascii="仿宋" w:hAnsi="仿宋" w:eastAsia="仿宋" w:cs="宋体"/>
                <w:sz w:val="24"/>
                <w:szCs w:val="24"/>
              </w:rPr>
            </w:pPr>
            <w:r>
              <w:rPr>
                <w:rFonts w:hint="eastAsia" w:ascii="仿宋" w:hAnsi="仿宋" w:eastAsia="仿宋" w:cs="宋体"/>
                <w:sz w:val="24"/>
                <w:szCs w:val="24"/>
              </w:rPr>
              <w:t>失效预测及应用</w:t>
            </w:r>
          </w:p>
          <w:p>
            <w:pPr>
              <w:pStyle w:val="6"/>
              <w:widowControl/>
              <w:numPr>
                <w:ilvl w:val="0"/>
                <w:numId w:val="2"/>
              </w:numPr>
              <w:spacing w:line="300" w:lineRule="exact"/>
              <w:jc w:val="left"/>
              <w:rPr>
                <w:rFonts w:ascii="仿宋" w:hAnsi="仿宋" w:eastAsia="仿宋" w:cs="宋体"/>
                <w:sz w:val="24"/>
                <w:szCs w:val="24"/>
              </w:rPr>
            </w:pPr>
            <w:r>
              <w:rPr>
                <w:rFonts w:hint="eastAsia" w:ascii="仿宋" w:hAnsi="仿宋" w:eastAsia="仿宋" w:cs="宋体"/>
                <w:sz w:val="24"/>
                <w:szCs w:val="24"/>
              </w:rPr>
              <w:t>退化数据分析的概念和方法</w:t>
            </w:r>
          </w:p>
          <w:p>
            <w:pPr>
              <w:pStyle w:val="6"/>
              <w:widowControl/>
              <w:numPr>
                <w:ilvl w:val="0"/>
                <w:numId w:val="2"/>
              </w:numPr>
              <w:spacing w:line="300" w:lineRule="exact"/>
              <w:jc w:val="left"/>
              <w:rPr>
                <w:rFonts w:ascii="仿宋" w:hAnsi="仿宋" w:eastAsia="仿宋" w:cs="宋体"/>
                <w:sz w:val="24"/>
                <w:szCs w:val="24"/>
              </w:rPr>
            </w:pPr>
            <w:r>
              <w:rPr>
                <w:rFonts w:hint="eastAsia" w:ascii="仿宋" w:hAnsi="仿宋" w:eastAsia="仿宋" w:cs="宋体"/>
                <w:sz w:val="24"/>
                <w:szCs w:val="24"/>
              </w:rPr>
              <w:t>退化数据分析软件操作和练习</w:t>
            </w:r>
          </w:p>
          <w:p>
            <w:pPr>
              <w:pStyle w:val="6"/>
              <w:widowControl/>
              <w:numPr>
                <w:ilvl w:val="0"/>
                <w:numId w:val="2"/>
              </w:numPr>
              <w:spacing w:line="300" w:lineRule="exact"/>
              <w:jc w:val="left"/>
              <w:rPr>
                <w:rFonts w:ascii="仿宋" w:hAnsi="仿宋" w:eastAsia="仿宋" w:cs="宋体"/>
                <w:b/>
                <w:color w:val="333333"/>
                <w:sz w:val="24"/>
                <w:szCs w:val="24"/>
                <w:shd w:val="clear" w:color="auto" w:fill="FFFFFF"/>
              </w:rPr>
            </w:pPr>
            <w:r>
              <w:rPr>
                <w:rFonts w:hint="eastAsia" w:ascii="仿宋" w:hAnsi="仿宋" w:eastAsia="仿宋" w:cs="宋体"/>
                <w:sz w:val="24"/>
                <w:szCs w:val="24"/>
              </w:rPr>
              <w:t>培训总结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widowControl/>
              <w:spacing w:line="300" w:lineRule="exact"/>
              <w:jc w:val="center"/>
              <w:rPr>
                <w:rFonts w:ascii="仿宋" w:hAnsi="仿宋" w:eastAsia="仿宋" w:cs="宋体"/>
                <w:b/>
                <w:color w:val="333333"/>
                <w:sz w:val="24"/>
                <w:szCs w:val="24"/>
                <w:shd w:val="clear" w:color="auto" w:fill="FFFFFF"/>
                <w:lang w:eastAsia="zh-CN"/>
              </w:rPr>
            </w:pPr>
            <w:r>
              <w:rPr>
                <w:rFonts w:hint="eastAsia" w:ascii="仿宋" w:hAnsi="仿宋" w:eastAsia="仿宋" w:cs="宋体"/>
                <w:b/>
                <w:color w:val="333333"/>
                <w:sz w:val="24"/>
                <w:szCs w:val="24"/>
                <w:shd w:val="clear" w:color="auto" w:fill="FFFFFF"/>
                <w:lang w:eastAsia="zh-CN"/>
              </w:rPr>
              <w:t>培训讲师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5000" w:type="pct"/>
            <w:gridSpan w:val="2"/>
          </w:tcPr>
          <w:p>
            <w:pPr>
              <w:widowControl/>
              <w:spacing w:line="300" w:lineRule="exact"/>
              <w:rPr>
                <w:rFonts w:ascii="仿宋" w:hAnsi="仿宋" w:eastAsia="仿宋" w:cs="宋体"/>
                <w:b/>
                <w:sz w:val="24"/>
                <w:szCs w:val="24"/>
                <w:lang w:eastAsia="zh-CN"/>
              </w:rPr>
            </w:pPr>
            <w:r>
              <w:rPr>
                <w:rFonts w:hint="eastAsia" w:ascii="仿宋" w:hAnsi="仿宋" w:eastAsia="仿宋" w:cs="宋体"/>
                <w:b/>
                <w:sz w:val="24"/>
                <w:szCs w:val="24"/>
                <w:lang w:eastAsia="zh-CN"/>
              </w:rPr>
              <w:t>滕老师：</w:t>
            </w:r>
          </w:p>
          <w:p>
            <w:pPr>
              <w:pStyle w:val="2"/>
              <w:widowControl/>
              <w:numPr>
                <w:ilvl w:val="0"/>
                <w:numId w:val="3"/>
              </w:numPr>
              <w:tabs>
                <w:tab w:val="left" w:pos="1418"/>
              </w:tabs>
              <w:snapToGrid w:val="0"/>
              <w:spacing w:before="40" w:line="300" w:lineRule="exact"/>
              <w:ind w:leftChars="0"/>
              <w:contextualSpacing/>
              <w:rPr>
                <w:rFonts w:ascii="仿宋" w:hAnsi="仿宋" w:eastAsia="仿宋" w:cs="宋体"/>
                <w:sz w:val="24"/>
                <w:szCs w:val="24"/>
                <w:lang w:eastAsia="zh-CN"/>
              </w:rPr>
            </w:pPr>
            <w:r>
              <w:rPr>
                <w:rFonts w:hint="eastAsia" w:ascii="仿宋" w:hAnsi="仿宋" w:eastAsia="仿宋" w:cs="宋体"/>
                <w:sz w:val="24"/>
                <w:szCs w:val="24"/>
                <w:lang w:eastAsia="zh-CN"/>
              </w:rPr>
              <w:t>SRE(美国可靠性工程师协会)上海分会会员、美国质量协会认证可靠性工程师（CRE ASQ)、通用电气（GE）RPP可靠性实践者项目认证，熟悉DMAIC,DFSS 等6-sigma 流程，多次参与ASQ 网络研讨会讲座；</w:t>
            </w:r>
          </w:p>
          <w:p>
            <w:pPr>
              <w:pStyle w:val="2"/>
              <w:widowControl/>
              <w:numPr>
                <w:ilvl w:val="0"/>
                <w:numId w:val="3"/>
              </w:numPr>
              <w:tabs>
                <w:tab w:val="left" w:pos="1418"/>
              </w:tabs>
              <w:snapToGrid w:val="0"/>
              <w:spacing w:before="40" w:line="300" w:lineRule="exact"/>
              <w:ind w:leftChars="0"/>
              <w:contextualSpacing/>
              <w:rPr>
                <w:rFonts w:ascii="仿宋" w:hAnsi="仿宋" w:eastAsia="仿宋" w:cs="宋体"/>
                <w:sz w:val="24"/>
                <w:szCs w:val="24"/>
                <w:lang w:eastAsia="zh-CN"/>
              </w:rPr>
            </w:pPr>
            <w:r>
              <w:rPr>
                <w:rFonts w:hint="eastAsia" w:ascii="仿宋" w:hAnsi="仿宋" w:eastAsia="仿宋" w:cs="宋体"/>
                <w:sz w:val="24"/>
                <w:szCs w:val="24"/>
                <w:lang w:eastAsia="zh-CN"/>
              </w:rPr>
              <w:t>在产品设计和可靠性工程领域超过10 年的实际工程经验；</w:t>
            </w:r>
          </w:p>
          <w:p>
            <w:pPr>
              <w:pStyle w:val="2"/>
              <w:widowControl/>
              <w:numPr>
                <w:ilvl w:val="0"/>
                <w:numId w:val="3"/>
              </w:numPr>
              <w:tabs>
                <w:tab w:val="left" w:pos="1418"/>
              </w:tabs>
              <w:snapToGrid w:val="0"/>
              <w:spacing w:before="40" w:line="300" w:lineRule="exact"/>
              <w:ind w:leftChars="0"/>
              <w:contextualSpacing/>
              <w:rPr>
                <w:rFonts w:ascii="仿宋" w:hAnsi="仿宋" w:eastAsia="仿宋" w:cs="宋体"/>
                <w:sz w:val="24"/>
                <w:szCs w:val="24"/>
                <w:lang w:eastAsia="zh-CN"/>
              </w:rPr>
            </w:pPr>
            <w:r>
              <w:rPr>
                <w:rFonts w:hint="eastAsia" w:ascii="仿宋" w:hAnsi="仿宋" w:eastAsia="仿宋" w:cs="宋体"/>
                <w:sz w:val="24"/>
                <w:szCs w:val="24"/>
                <w:lang w:eastAsia="zh-CN"/>
              </w:rPr>
              <w:t>精通可靠性工程体系，特别是在企业可靠性设计流程建立、可靠性工程在汽车行业的应用、实验设计、稳健设计、DFMEA 等方面拥有丰富的实践和培训、咨询经验，先后就职于通用电气（GE）中国，山特维克（Sandvik）和标致雪铁龙（PSA）研发中心，先后担任过高级可靠性工程师与可靠性主管职务，对全球最佳实践的可靠性体系和其在汽车行业的应用有着较深入理解；</w:t>
            </w:r>
          </w:p>
          <w:p>
            <w:pPr>
              <w:pStyle w:val="2"/>
              <w:widowControl/>
              <w:numPr>
                <w:ilvl w:val="0"/>
                <w:numId w:val="3"/>
              </w:numPr>
              <w:tabs>
                <w:tab w:val="left" w:pos="1418"/>
              </w:tabs>
              <w:snapToGrid w:val="0"/>
              <w:spacing w:before="40" w:line="300" w:lineRule="exact"/>
              <w:ind w:leftChars="0"/>
              <w:contextualSpacing/>
              <w:rPr>
                <w:rFonts w:ascii="仿宋" w:hAnsi="仿宋" w:eastAsia="仿宋" w:cs="宋体"/>
                <w:sz w:val="24"/>
                <w:szCs w:val="24"/>
                <w:lang w:eastAsia="zh-CN"/>
              </w:rPr>
            </w:pPr>
            <w:r>
              <w:rPr>
                <w:rFonts w:hint="eastAsia" w:ascii="仿宋" w:hAnsi="仿宋" w:eastAsia="仿宋" w:cs="宋体"/>
                <w:sz w:val="24"/>
                <w:szCs w:val="24"/>
                <w:lang w:eastAsia="zh-CN"/>
              </w:rPr>
              <w:t>对包括吉利汽车、恩坦华、奇瑞汽车、万向电动汽车、标致雪铁龙、通用电气和山特维克等单位实施过培训。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9337C"/>
    <w:multiLevelType w:val="multilevel"/>
    <w:tmpl w:val="34D933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81779A0"/>
    <w:multiLevelType w:val="multilevel"/>
    <w:tmpl w:val="681779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3140515"/>
    <w:multiLevelType w:val="multilevel"/>
    <w:tmpl w:val="73140515"/>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B1AA2"/>
    <w:rsid w:val="162B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semiHidden/>
    <w:unhideWhenUsed/>
    <w:uiPriority w:val="99"/>
    <w:pPr>
      <w:spacing w:after="120" w:line="480" w:lineRule="auto"/>
      <w:ind w:left="420" w:leftChars="200"/>
    </w:pPr>
  </w:style>
  <w:style w:type="table" w:styleId="4">
    <w:name w:val="Table Grid"/>
    <w:basedOn w:val="3"/>
    <w:qFormat/>
    <w:uiPriority w:val="39"/>
    <w:pPr>
      <w:widowControl/>
    </w:pPr>
    <w:rPr>
      <w:rFonts w:ascii="Times New Roman" w:hAnsi="Times New Roman" w:eastAsia="宋体"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7">
    <w:name w:val="List Paragraph"/>
    <w:basedOn w:val="1"/>
    <w:qFormat/>
    <w:uiPriority w:val="34"/>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2021-05-31T04:30:00Z</dcterms:created>
  <dc:creator>徐妍妍</dc:creator>
  <cp:lastModifiedBy>徐妍妍</cp:lastModifiedBy>
  <dcterms:modified xsi:type="dcterms:W3CDTF">2021-05-31T04:31:07Z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075B2FDE6E69455BA2E41FC201441C94</vt:lpwstr>
  </property>
</Properties>
</file>